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bookmarkStart w:id="0" w:name="_GoBack"/>
      <w:r>
        <w:rPr>
          <w:rStyle w:val="4"/>
          <w:rFonts w:hint="eastAsia" w:ascii="华文中宋" w:hAnsi="华文中宋" w:eastAsia="华文中宋" w:cs="华文中宋"/>
          <w:sz w:val="36"/>
          <w:szCs w:val="36"/>
        </w:rPr>
        <w:t>教育部关于加强新时代高校</w:t>
      </w: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r>
        <w:rPr>
          <w:rStyle w:val="4"/>
          <w:rFonts w:hint="eastAsia" w:ascii="华文中宋" w:hAnsi="华文中宋" w:eastAsia="华文中宋" w:cs="华文中宋"/>
          <w:sz w:val="36"/>
          <w:szCs w:val="36"/>
        </w:rPr>
        <w:t>“形势与政策”课建设的若干意见</w:t>
      </w:r>
    </w:p>
    <w:bookmarkEnd w:id="0"/>
    <w:p>
      <w:pPr>
        <w:pStyle w:val="2"/>
        <w:keepNext w:val="0"/>
        <w:keepLines w:val="0"/>
        <w:pageBreakBefore w:val="0"/>
        <w:widowControl/>
        <w:suppressLineNumbers w:val="0"/>
        <w:pBdr>
          <w:top w:val="none" w:color="auto" w:sz="0" w:space="0"/>
        </w:pBdr>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各省、自治区、直辖市党委教育工作部门、教育厅（教委），新疆生产建设兵团教育局，部属各高等学校：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形势与政策”课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为深入学习贯彻党的十九大精神，深入贯彻落实习近平总书记关于加强和改进高校思想政治工作的重要论述和中共中央、国务院《关于加强和改进新形势下高校思想政治工作的意见》精神，及时、准确、深入地推动习近平新时代中国特色社会主义思想进教材进课堂进学生头脑，宣传党中央大政方针，牢固树立“四个意识”，坚定“四个自信”，培养担当民族复兴大任的时代新人，现就进一步加强和改进新时代高校“形势与政策”课建设提出如下意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1.切实加强教学管理。要将“形势与政策”课纳入思想政治理论课管理体系，由学校思想政治理论课教学科研二级机构统一组织开课、统一管理任课教师，党委宣传部、党委学生工作部、教务处等相关部门配合做好教学管理工作。要设置“形势与政策”课教研室，定期组织任课教师开展集体备课，确定教学专题、明确教学重点、研制教学课件、规范教学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2.充分保证规范开课。要将“形势与政策”课纳入学校教学计划，严格落实“形势与政策”课的学分。要保证本、专科学生在校学习期间开课不断线。本科每学期不低于8学时，共计2学分；专科每学期不低于8学时，共计1学分。各高校应结合实际和学生需求，开设形势与政策教育类的选修课，完善思想政治理论教育课程体系，发挥“课程思政”作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3.准确把握教学内容。要紧密围绕学习贯彻习近平新时代中国特色社会主义思想，把坚定“四个自信”贯穿教学全过程，重点讲授党的理论创新最新成果，重点讲授新时代坚持和发展中国特色社会主义的生动实践，引导学生正确认识世界和中国发展大势，正确认识中国特色和国际比较，正确认识时代责任和历史使命，正确认识远大抱负和脚踏实地。要开设好全面从严治党形势与政策的专题，重点讲授党的政治建设、思想建设、组织建设、作风建设、纪律建设以及贯穿其中的制度建设的新举措新成效；开设好我国经济社会发展形势与政策的专题，重点讲授党中央关于经济建设、政治建设、文化建设、社会建设、生态文明建设的新决策新部署；开设好港澳台工作形势与政策的专题，重点讲授坚持“一国两制”、推进祖国统一的新进展新局面；开设好国际形势与政策专题，重点讲授中国坚持和平发展道路、推动构建人类命运共同体的新理念新贡献。各高校依据教育部每学期印发的《高校“形势与政策”课教学要点》安排教学。要根据形势发展要求和学生特点有针对性地设置教学内容，及时回应学生关注的热点问题。</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4.规范建设教学资源。教育部组织力量、协调资源加强“全国高校思想政治理论课教师网络集体备课平台”建设，各高校要积极参与、共建共享，共同打造“形势与政策”课教学优质资源。各地各高校可结合实际，编写“形势与政策”课教学辅助资料，原则上各地组织编写的教学辅助资料由地方党委宣传、教育工作部门负责审定，各高校组织编写的教学辅助资料由学校党委负责审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5.择优遴选教师队伍。要配备高素质专职教师负责“形势与政策”课组织工作，并承担一定的教学和科研任务。坚持高标准，按照“优中选优”原则，从思想政治理论课教师、哲学社会科学专业课教师、高校辅导员等教师队伍中择优遴选“形势与政策”课骨干教师。实行“形势与政策”课特聘教授制度，分层建立特聘教授专家库，选聘社科理论界专家、企事业单位负责人、各行业先进模范等参与“形势与政策”课教学。积极邀请党政领导干部上讲台讲“形势与政策”课。要完善“形势与政策”课教学评议制度，探索实行教师退出机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6.创新设计教学方式。要坚持马克思主义立场、观点和方法，结合中华民族发展史、中国共产党史、中华人民共和国史、改革开放史和世界社会主义发展史，结合大学生思想实际，科学分析当前形势与政策，准确阐释习近平新时代中国特色社会主义思想。可采取灵活多样的方式组织课堂教学，积极运用现代信息技术手段，扩大优质课程的覆盖面，提升“形势与政策”课教学效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7.注重考核学习效果。要保证课程覆盖所有在校本专科生，学生听课要涵盖教学内容中的四大类专题。成绩考核以提交专题论文、调研报告为主，重点考核学生对马克思主义中国化最新成果的掌握水平，考核学生对新时代中国特色社会主义实践的了解情况。按照学期进行考核，缺课学生要及时补课，各学期考核的平均成绩为该课程最终成绩，一次计入成绩册。</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　　8.大力加强组织领导。教育部加强对“形势与政策”课建设的统筹管理，定期研究制定教学要点，组织专家加强教学指导，定期举办骨干教师示范培训班，加强教学经验交流和重点难点问题研讨解析。各高校要研制科学的考核标准，计算教师教学工作量要充分考虑“形势与政策”课难度大、变化快、备课耗时多的特点。各地各高校要组织教师加强教学研究，及时关注形势与政策变化，学深悟透习近平新时代中国特色社会主义思想，切实保障“形势与政策”课教学效果，让学生真心喜爱、终身受益，把这门课真正打造成思想政治理论课的示范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教育部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sz w:val="32"/>
          <w:szCs w:val="32"/>
        </w:rPr>
      </w:pPr>
      <w:r>
        <w:rPr>
          <w:rFonts w:hint="eastAsia" w:ascii="宋体" w:hAnsi="宋体" w:eastAsia="宋体" w:cs="宋体"/>
          <w:sz w:val="32"/>
          <w:szCs w:val="32"/>
        </w:rPr>
        <w:t>2018年4月12日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atLeast"/>
        <w:ind w:left="0" w:leftChars="0" w:right="0" w:rightChars="0" w:firstLine="0" w:firstLineChars="0"/>
        <w:jc w:val="both"/>
        <w:textAlignment w:val="auto"/>
        <w:outlineLvl w:val="9"/>
        <w:rPr>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atLeast"/>
        <w:ind w:left="0" w:leftChars="0" w:right="0" w:rightChars="0" w:firstLine="0" w:firstLineChars="0"/>
        <w:jc w:val="both"/>
        <w:textAlignment w:val="auto"/>
        <w:outlineLvl w:val="9"/>
        <w:rPr>
          <w:rFonts w:hint="eastAsia"/>
          <w:sz w:val="32"/>
          <w:szCs w:val="32"/>
        </w:rPr>
      </w:pPr>
    </w:p>
    <w:sectPr>
      <w:pgSz w:w="11906" w:h="16838"/>
      <w:pgMar w:top="1417" w:right="1417"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Arial Unicode MS"/>
    <w:panose1 w:val="00000000000000000000"/>
    <w:charset w:val="00"/>
    <w:family w:val="auto"/>
    <w:pitch w:val="default"/>
    <w:sig w:usb0="00000000" w:usb1="00000000" w:usb2="00000000" w:usb3="00000000" w:csb0="00000000" w:csb1="00000000"/>
  </w:font>
  <w:font w:name="楷体">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黑体">
    <w:altName w:val="宋体"/>
    <w:panose1 w:val="00000000000000000000"/>
    <w:charset w:val="00"/>
    <w:family w:val="auto"/>
    <w:pitch w:val="default"/>
    <w:sig w:usb0="00000000" w:usb1="00000000" w:usb2="00000000" w:usb3="00000000" w:csb0="00000000" w:csb1="00000000"/>
  </w:font>
  <w:font w:name="仿宋_GB2312">
    <w:altName w:val="Arial Unicode MS"/>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552E1"/>
    <w:rsid w:val="03CD1183"/>
    <w:rsid w:val="0B6552E1"/>
    <w:rsid w:val="1CA84B77"/>
    <w:rsid w:val="1DC348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2002-01-03T21:49:00Z</dcterms:created>
  <dc:creator>Administrator</dc:creator>
  <cp:lastModifiedBy>Administrator</cp:lastModifiedBy>
  <dcterms:modified xsi:type="dcterms:W3CDTF">2002-01-03T21:58:35Z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